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水火有氣而無生，草木有生而無知，禽獸有知而無義，人有氣、有生、有知，亦且有義，故最為天下貴也。力不若牛，走不若馬，而牛馬為用，何也？曰：人能群，彼不能群也。人何以能群？曰：分。分何以能行？曰：義。故義以分則和，和則一，一則多力，多力則彊，彊則勝物；故宮室可得而居也。故序四時，裁萬物，兼利天下，無它故焉，得之分義也。</w:t>
        <w:br/>
        <w:t xml:space="preserve">  故人生不能無群，群而無分則爭，爭則亂，亂則離，離則弱，弱則不能勝物；故宮室不可得而居也，不可少頃舍禮義之謂也。能以事親謂之孝，能以事兄謂之弟，能以事上謂之順，能以使下謂之君。</w:t>
        <w:br/>
        <w:t xml:space="preserve">   君者，善群也。群道當，則萬物皆得其宜，六畜皆得其長，群生皆得其命。故養長時，則六畜育；殺生時，則草木殖；政令時，則百姓一，賢良服。</w:t>
        <w:br/>
        <w:t>聖王之制也。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